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EA7FD" w14:textId="20AC8462" w:rsidR="00A8068E" w:rsidRPr="00D66140" w:rsidRDefault="00055EF5" w:rsidP="00A8068E">
      <w:pPr>
        <w:jc w:val="center"/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b/>
          <w:bCs/>
          <w:sz w:val="28"/>
          <w:szCs w:val="28"/>
          <w:lang w:val="en-US"/>
        </w:rPr>
        <w:t xml:space="preserve">ACCEPTANCE PROCEDURE OF </w:t>
      </w:r>
      <w:r w:rsidR="00A8068E" w:rsidRPr="00D66140">
        <w:rPr>
          <w:rFonts w:ascii="Arial" w:hAnsi="Arial" w:cs="Arial"/>
          <w:b/>
          <w:bCs/>
          <w:sz w:val="28"/>
          <w:szCs w:val="28"/>
          <w:lang w:val="en-US"/>
        </w:rPr>
        <w:t>SAMPLE SET 2 TESTING</w:t>
      </w:r>
    </w:p>
    <w:p w14:paraId="7B094233" w14:textId="77777777" w:rsidR="00A8068E" w:rsidRPr="00D66140" w:rsidRDefault="00A8068E" w:rsidP="00A8068E">
      <w:p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Prerequisites: </w:t>
      </w:r>
    </w:p>
    <w:p w14:paraId="27FBEC44" w14:textId="77777777" w:rsidR="00055EF5" w:rsidRPr="00D66140" w:rsidRDefault="00A8068E" w:rsidP="00055EF5">
      <w:pPr>
        <w:pStyle w:val="Odstavecseseznamem"/>
        <w:numPr>
          <w:ilvl w:val="0"/>
          <w:numId w:val="12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40pcs of white ID1 testing cards, specific initialization according to requirements of the Buyer, testing diversified transport key, testing key ceremony implemented </w:t>
      </w:r>
    </w:p>
    <w:p w14:paraId="2CF160DC" w14:textId="4FEB635F" w:rsidR="00A8068E" w:rsidRPr="00D66140" w:rsidRDefault="00A8068E" w:rsidP="00055EF5">
      <w:pPr>
        <w:pStyle w:val="Odstavecseseznamem"/>
        <w:numPr>
          <w:ilvl w:val="0"/>
          <w:numId w:val="12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Personalization manual provided together with the sample SET 2 – fully describing all the aspects of the personalization of the chip </w:t>
      </w:r>
    </w:p>
    <w:p w14:paraId="431D9A4F" w14:textId="5F3F5A4E" w:rsidR="00A8068E" w:rsidRPr="00D66140" w:rsidRDefault="00A8068E" w:rsidP="00055EF5">
      <w:pPr>
        <w:pStyle w:val="Odstavecseseznamem"/>
        <w:numPr>
          <w:ilvl w:val="0"/>
          <w:numId w:val="12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Example of personalization script to be provided together with the sample SET 2 </w:t>
      </w:r>
    </w:p>
    <w:p w14:paraId="61B59FFD" w14:textId="71115B97" w:rsidR="00A8068E" w:rsidRDefault="00055EF5" w:rsidP="00A8068E">
      <w:p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The main goal of Sample SET 2 acceptance testing is to verify the correctness of the implementation of the Key ceremony, i.e. </w:t>
      </w:r>
      <w:r w:rsidRPr="00556C44">
        <w:rPr>
          <w:rFonts w:ascii="Arial" w:hAnsi="Arial" w:cs="Arial"/>
          <w:lang w:val="en-US"/>
        </w:rPr>
        <w:t xml:space="preserve">the compliance of the Key ceremony </w:t>
      </w:r>
      <w:r w:rsidRPr="009C0D98">
        <w:rPr>
          <w:rFonts w:ascii="Arial" w:hAnsi="Arial" w:cs="Arial"/>
          <w:lang w:val="en-US"/>
        </w:rPr>
        <w:t>stated in Annex No. 1</w:t>
      </w:r>
      <w:r w:rsidR="00556C44" w:rsidRPr="009C0D98">
        <w:rPr>
          <w:rFonts w:ascii="Arial" w:hAnsi="Arial" w:cs="Arial"/>
          <w:lang w:val="en-US"/>
        </w:rPr>
        <w:t>e</w:t>
      </w:r>
      <w:r w:rsidRPr="009C0D98">
        <w:rPr>
          <w:rFonts w:ascii="Arial" w:hAnsi="Arial" w:cs="Arial"/>
          <w:lang w:val="en-US"/>
        </w:rPr>
        <w:t xml:space="preserve"> to the Framework Agreement</w:t>
      </w:r>
      <w:r w:rsidRPr="00556C44">
        <w:rPr>
          <w:rFonts w:ascii="Arial" w:hAnsi="Arial" w:cs="Arial"/>
          <w:lang w:val="en-US"/>
        </w:rPr>
        <w:t xml:space="preserve"> and</w:t>
      </w:r>
      <w:r w:rsidRPr="00D66140">
        <w:rPr>
          <w:rFonts w:ascii="Arial" w:hAnsi="Arial" w:cs="Arial"/>
          <w:lang w:val="en-US"/>
        </w:rPr>
        <w:t xml:space="preserve"> with the classified part of </w:t>
      </w:r>
      <w:proofErr w:type="gramStart"/>
      <w:r w:rsidRPr="00D66140">
        <w:rPr>
          <w:rFonts w:ascii="Arial" w:hAnsi="Arial" w:cs="Arial"/>
          <w:lang w:val="en-US"/>
        </w:rPr>
        <w:t>Technical</w:t>
      </w:r>
      <w:proofErr w:type="gramEnd"/>
      <w:r w:rsidRPr="00D66140">
        <w:rPr>
          <w:rFonts w:ascii="Arial" w:hAnsi="Arial" w:cs="Arial"/>
          <w:lang w:val="en-US"/>
        </w:rPr>
        <w:t xml:space="preserve"> </w:t>
      </w:r>
      <w:r w:rsidRPr="000368E4">
        <w:rPr>
          <w:rFonts w:ascii="Arial" w:hAnsi="Arial" w:cs="Arial"/>
          <w:lang w:val="en-US"/>
        </w:rPr>
        <w:t>specification (</w:t>
      </w:r>
      <w:r w:rsidRPr="009C0D98">
        <w:rPr>
          <w:rFonts w:ascii="Arial" w:hAnsi="Arial" w:cs="Arial"/>
          <w:lang w:val="en-US"/>
        </w:rPr>
        <w:t>Article II paragraph 7 hereof</w:t>
      </w:r>
      <w:r w:rsidRPr="000368E4">
        <w:rPr>
          <w:rFonts w:ascii="Arial" w:hAnsi="Arial" w:cs="Arial"/>
          <w:lang w:val="en-US"/>
        </w:rPr>
        <w:t>).</w:t>
      </w:r>
    </w:p>
    <w:p w14:paraId="2BE72429" w14:textId="77777777" w:rsidR="000B4D8E" w:rsidRPr="00D66140" w:rsidRDefault="000B4D8E" w:rsidP="000B4D8E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Testing</w:t>
      </w:r>
      <w:r w:rsidRPr="00D66140">
        <w:rPr>
          <w:rFonts w:ascii="Arial" w:hAnsi="Arial" w:cs="Arial"/>
          <w:b/>
          <w:bCs/>
          <w:lang w:val="en-US"/>
        </w:rPr>
        <w:t xml:space="preserve"> scenarios:</w:t>
      </w:r>
    </w:p>
    <w:tbl>
      <w:tblPr>
        <w:tblStyle w:val="Mkatabulky"/>
        <w:tblW w:w="9108" w:type="dxa"/>
        <w:tblLook w:val="04A0" w:firstRow="1" w:lastRow="0" w:firstColumn="1" w:lastColumn="0" w:noHBand="0" w:noVBand="1"/>
      </w:tblPr>
      <w:tblGrid>
        <w:gridCol w:w="2560"/>
        <w:gridCol w:w="4058"/>
        <w:gridCol w:w="2490"/>
      </w:tblGrid>
      <w:tr w:rsidR="000B4D8E" w:rsidRPr="00D66140" w14:paraId="32D6FC73" w14:textId="77777777" w:rsidTr="00360FE7">
        <w:tc>
          <w:tcPr>
            <w:tcW w:w="2560" w:type="dxa"/>
            <w:shd w:val="clear" w:color="auto" w:fill="D5DCE4" w:themeFill="text2" w:themeFillTint="33"/>
          </w:tcPr>
          <w:p w14:paraId="787C863E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Test case</w:t>
            </w:r>
          </w:p>
        </w:tc>
        <w:tc>
          <w:tcPr>
            <w:tcW w:w="4058" w:type="dxa"/>
            <w:shd w:val="clear" w:color="auto" w:fill="D5DCE4" w:themeFill="text2" w:themeFillTint="33"/>
          </w:tcPr>
          <w:p w14:paraId="5C36F4C1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Description</w:t>
            </w:r>
          </w:p>
        </w:tc>
        <w:tc>
          <w:tcPr>
            <w:tcW w:w="2490" w:type="dxa"/>
            <w:shd w:val="clear" w:color="auto" w:fill="D5DCE4" w:themeFill="text2" w:themeFillTint="33"/>
          </w:tcPr>
          <w:p w14:paraId="4358703F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Passed/Failed</w:t>
            </w:r>
          </w:p>
        </w:tc>
      </w:tr>
      <w:tr w:rsidR="000B4D8E" w:rsidRPr="00D66140" w14:paraId="5D6B3009" w14:textId="77777777" w:rsidTr="00360FE7">
        <w:tc>
          <w:tcPr>
            <w:tcW w:w="2560" w:type="dxa"/>
          </w:tcPr>
          <w:p w14:paraId="7C9FA04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scenario 1</w:t>
            </w:r>
          </w:p>
        </w:tc>
        <w:tc>
          <w:tcPr>
            <w:tcW w:w="4058" w:type="dxa"/>
          </w:tcPr>
          <w:p w14:paraId="12D43E67" w14:textId="3FA2D6DB" w:rsidR="000B4D8E" w:rsidRPr="00D66140" w:rsidRDefault="000B4D8E" w:rsidP="00360FE7">
            <w:pPr>
              <w:ind w:left="21" w:hanging="10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Successful authentication into the chip</w:t>
            </w:r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66140">
              <w:rPr>
                <w:rFonts w:asciiTheme="majorHAnsi" w:hAnsiTheme="majorHAnsi" w:cstheme="majorHAnsi"/>
                <w:lang w:val="en-US"/>
              </w:rPr>
              <w:t xml:space="preserve">using </w:t>
            </w:r>
            <w:r w:rsidRPr="000B4D8E">
              <w:rPr>
                <w:rFonts w:asciiTheme="majorHAnsi" w:hAnsiTheme="majorHAnsi" w:cstheme="majorHAnsi"/>
                <w:lang w:val="en-US"/>
              </w:rPr>
              <w:t>specific customer diversified transport key</w:t>
            </w:r>
          </w:p>
        </w:tc>
        <w:tc>
          <w:tcPr>
            <w:tcW w:w="2490" w:type="dxa"/>
          </w:tcPr>
          <w:p w14:paraId="736AA5E5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326C68E6" w14:textId="77777777" w:rsidTr="00360FE7">
        <w:tc>
          <w:tcPr>
            <w:tcW w:w="2560" w:type="dxa"/>
          </w:tcPr>
          <w:p w14:paraId="741EAE32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scenario 2</w:t>
            </w:r>
          </w:p>
        </w:tc>
        <w:tc>
          <w:tcPr>
            <w:tcW w:w="4058" w:type="dxa"/>
          </w:tcPr>
          <w:p w14:paraId="580DA7B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 xml:space="preserve">Personalization of </w:t>
            </w:r>
            <w:r>
              <w:rPr>
                <w:rFonts w:asciiTheme="majorHAnsi" w:hAnsiTheme="majorHAnsi" w:cstheme="majorHAnsi"/>
                <w:lang w:val="en-US"/>
              </w:rPr>
              <w:t>Driver card profile</w:t>
            </w:r>
          </w:p>
        </w:tc>
        <w:tc>
          <w:tcPr>
            <w:tcW w:w="2490" w:type="dxa"/>
          </w:tcPr>
          <w:p w14:paraId="1EE781D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54A5B122" w14:textId="77777777" w:rsidTr="00360FE7">
        <w:tc>
          <w:tcPr>
            <w:tcW w:w="2560" w:type="dxa"/>
          </w:tcPr>
          <w:p w14:paraId="040112F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scenario 3</w:t>
            </w:r>
          </w:p>
        </w:tc>
        <w:tc>
          <w:tcPr>
            <w:tcW w:w="4058" w:type="dxa"/>
          </w:tcPr>
          <w:p w14:paraId="3840D47C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of</w:t>
            </w:r>
            <w:r>
              <w:rPr>
                <w:rFonts w:asciiTheme="majorHAnsi" w:hAnsiTheme="majorHAnsi" w:cstheme="majorHAnsi"/>
                <w:lang w:val="en-US"/>
              </w:rPr>
              <w:t xml:space="preserve"> Workshop card profile</w:t>
            </w:r>
          </w:p>
        </w:tc>
        <w:tc>
          <w:tcPr>
            <w:tcW w:w="2490" w:type="dxa"/>
          </w:tcPr>
          <w:p w14:paraId="2A247B9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2D195661" w14:textId="77777777" w:rsidTr="00360FE7">
        <w:tc>
          <w:tcPr>
            <w:tcW w:w="2560" w:type="dxa"/>
          </w:tcPr>
          <w:p w14:paraId="7389536B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scenario 4</w:t>
            </w:r>
          </w:p>
        </w:tc>
        <w:tc>
          <w:tcPr>
            <w:tcW w:w="4058" w:type="dxa"/>
          </w:tcPr>
          <w:p w14:paraId="7652298D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 xml:space="preserve">Personalization of </w:t>
            </w:r>
            <w:r>
              <w:rPr>
                <w:rFonts w:asciiTheme="majorHAnsi" w:hAnsiTheme="majorHAnsi" w:cstheme="majorHAnsi"/>
                <w:lang w:val="en-US"/>
              </w:rPr>
              <w:t>Control card profile</w:t>
            </w:r>
          </w:p>
        </w:tc>
        <w:tc>
          <w:tcPr>
            <w:tcW w:w="2490" w:type="dxa"/>
          </w:tcPr>
          <w:p w14:paraId="491105D3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515BB408" w14:textId="77777777" w:rsidTr="00360FE7">
        <w:tc>
          <w:tcPr>
            <w:tcW w:w="2560" w:type="dxa"/>
          </w:tcPr>
          <w:p w14:paraId="4013A234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>Personalization scenario 4</w:t>
            </w:r>
          </w:p>
        </w:tc>
        <w:tc>
          <w:tcPr>
            <w:tcW w:w="4058" w:type="dxa"/>
          </w:tcPr>
          <w:p w14:paraId="4C426BFF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D66140">
              <w:rPr>
                <w:rFonts w:asciiTheme="majorHAnsi" w:hAnsiTheme="majorHAnsi" w:cstheme="majorHAnsi"/>
                <w:lang w:val="en-US"/>
              </w:rPr>
              <w:t xml:space="preserve">Personalization of </w:t>
            </w:r>
            <w:r>
              <w:rPr>
                <w:rFonts w:asciiTheme="majorHAnsi" w:hAnsiTheme="majorHAnsi" w:cstheme="majorHAnsi"/>
                <w:lang w:val="en-US"/>
              </w:rPr>
              <w:t>Company card profile</w:t>
            </w:r>
          </w:p>
        </w:tc>
        <w:tc>
          <w:tcPr>
            <w:tcW w:w="2490" w:type="dxa"/>
          </w:tcPr>
          <w:p w14:paraId="2B35FDF0" w14:textId="77777777" w:rsidR="00B70631" w:rsidRPr="00D66140" w:rsidRDefault="00B70631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759B071A" w14:textId="77777777" w:rsidTr="00360FE7">
        <w:tc>
          <w:tcPr>
            <w:tcW w:w="2560" w:type="dxa"/>
          </w:tcPr>
          <w:p w14:paraId="3A884702" w14:textId="6EA72D00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ATR</w:t>
            </w:r>
          </w:p>
        </w:tc>
        <w:tc>
          <w:tcPr>
            <w:tcW w:w="4058" w:type="dxa"/>
          </w:tcPr>
          <w:p w14:paraId="1918E0DC" w14:textId="1E765948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5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  <w:tc>
          <w:tcPr>
            <w:tcW w:w="2490" w:type="dxa"/>
          </w:tcPr>
          <w:p w14:paraId="6A77162F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21A4855E" w14:textId="77777777" w:rsidTr="00360FE7">
        <w:tc>
          <w:tcPr>
            <w:tcW w:w="2560" w:type="dxa"/>
          </w:tcPr>
          <w:p w14:paraId="271076DB" w14:textId="20AE6498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T=0</w:t>
            </w:r>
          </w:p>
        </w:tc>
        <w:tc>
          <w:tcPr>
            <w:tcW w:w="4058" w:type="dxa"/>
          </w:tcPr>
          <w:p w14:paraId="3DAC6BA7" w14:textId="43F7E585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5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2</w:t>
            </w:r>
          </w:p>
        </w:tc>
        <w:tc>
          <w:tcPr>
            <w:tcW w:w="2490" w:type="dxa"/>
          </w:tcPr>
          <w:p w14:paraId="1AAAB312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38BCB413" w14:textId="77777777" w:rsidTr="00360FE7">
        <w:tc>
          <w:tcPr>
            <w:tcW w:w="2560" w:type="dxa"/>
          </w:tcPr>
          <w:p w14:paraId="2741F5BB" w14:textId="10F4BE7B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PTS</w:t>
            </w:r>
          </w:p>
        </w:tc>
        <w:tc>
          <w:tcPr>
            <w:tcW w:w="4058" w:type="dxa"/>
          </w:tcPr>
          <w:p w14:paraId="287CCC65" w14:textId="592DA3ED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5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.3</w:t>
            </w:r>
          </w:p>
        </w:tc>
        <w:tc>
          <w:tcPr>
            <w:tcW w:w="2490" w:type="dxa"/>
          </w:tcPr>
          <w:p w14:paraId="56BA00C7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6337C17B" w14:textId="77777777" w:rsidTr="00360FE7">
        <w:tc>
          <w:tcPr>
            <w:tcW w:w="2560" w:type="dxa"/>
          </w:tcPr>
          <w:p w14:paraId="5AE9DBB8" w14:textId="7BED962B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T=1</w:t>
            </w:r>
          </w:p>
        </w:tc>
        <w:tc>
          <w:tcPr>
            <w:tcW w:w="4058" w:type="dxa"/>
          </w:tcPr>
          <w:p w14:paraId="589F0473" w14:textId="71B315C3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5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4</w:t>
            </w:r>
          </w:p>
        </w:tc>
        <w:tc>
          <w:tcPr>
            <w:tcW w:w="2490" w:type="dxa"/>
          </w:tcPr>
          <w:p w14:paraId="677A8B1D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59A5FAF7" w14:textId="77777777" w:rsidTr="00360FE7">
        <w:tc>
          <w:tcPr>
            <w:tcW w:w="2560" w:type="dxa"/>
          </w:tcPr>
          <w:p w14:paraId="21AEBBE8" w14:textId="61A7AFD1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File structure</w:t>
            </w:r>
          </w:p>
        </w:tc>
        <w:tc>
          <w:tcPr>
            <w:tcW w:w="4058" w:type="dxa"/>
          </w:tcPr>
          <w:p w14:paraId="476B749E" w14:textId="165B89DF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6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  <w:tc>
          <w:tcPr>
            <w:tcW w:w="2490" w:type="dxa"/>
          </w:tcPr>
          <w:p w14:paraId="0065BA3A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3AF8A852" w14:textId="77777777" w:rsidTr="00360FE7">
        <w:tc>
          <w:tcPr>
            <w:tcW w:w="2560" w:type="dxa"/>
          </w:tcPr>
          <w:p w14:paraId="427FABE1" w14:textId="2FD8DBBC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177DB9">
              <w:rPr>
                <w:rFonts w:asciiTheme="majorHAnsi" w:hAnsiTheme="majorHAnsi" w:cstheme="majorHAnsi"/>
                <w:lang w:val="en-US"/>
              </w:rPr>
              <w:t>Normal processing</w:t>
            </w:r>
          </w:p>
        </w:tc>
        <w:tc>
          <w:tcPr>
            <w:tcW w:w="4058" w:type="dxa"/>
          </w:tcPr>
          <w:p w14:paraId="36F1A364" w14:textId="1CC8144F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7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  <w:tc>
          <w:tcPr>
            <w:tcW w:w="2490" w:type="dxa"/>
          </w:tcPr>
          <w:p w14:paraId="6F160632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54FA11A4" w14:textId="77777777" w:rsidTr="00360FE7">
        <w:tc>
          <w:tcPr>
            <w:tcW w:w="2560" w:type="dxa"/>
          </w:tcPr>
          <w:p w14:paraId="4109B7CF" w14:textId="5349E689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77DB9">
              <w:rPr>
                <w:rFonts w:asciiTheme="majorHAnsi" w:hAnsiTheme="majorHAnsi" w:cstheme="majorHAnsi"/>
              </w:rPr>
              <w:t>Error</w:t>
            </w:r>
            <w:proofErr w:type="spellEnd"/>
            <w:r w:rsidRPr="00177DB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177DB9">
              <w:rPr>
                <w:rFonts w:asciiTheme="majorHAnsi" w:hAnsiTheme="majorHAnsi" w:cstheme="majorHAnsi"/>
              </w:rPr>
              <w:t>messages</w:t>
            </w:r>
            <w:proofErr w:type="spellEnd"/>
          </w:p>
        </w:tc>
        <w:tc>
          <w:tcPr>
            <w:tcW w:w="4058" w:type="dxa"/>
          </w:tcPr>
          <w:p w14:paraId="2CDD4D14" w14:textId="7AE529AA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7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2</w:t>
            </w:r>
          </w:p>
        </w:tc>
        <w:tc>
          <w:tcPr>
            <w:tcW w:w="2490" w:type="dxa"/>
          </w:tcPr>
          <w:p w14:paraId="40E2B9AE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C7D75" w:rsidRPr="00D66140" w14:paraId="6C11D0DA" w14:textId="77777777" w:rsidTr="00360FE7">
        <w:tc>
          <w:tcPr>
            <w:tcW w:w="2560" w:type="dxa"/>
          </w:tcPr>
          <w:p w14:paraId="75EB89C3" w14:textId="7253D51C" w:rsidR="005C7D75" w:rsidRDefault="005C7D75" w:rsidP="002034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77DB9">
              <w:rPr>
                <w:rFonts w:asciiTheme="majorHAnsi" w:hAnsiTheme="majorHAnsi" w:cstheme="majorHAnsi"/>
              </w:rPr>
              <w:t>Cypher</w:t>
            </w:r>
            <w:proofErr w:type="spellEnd"/>
            <w:r w:rsidRPr="00177DB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177DB9">
              <w:rPr>
                <w:rFonts w:asciiTheme="majorHAnsi" w:hAnsiTheme="majorHAnsi" w:cstheme="majorHAnsi"/>
              </w:rPr>
              <w:t>suite</w:t>
            </w:r>
            <w:proofErr w:type="spellEnd"/>
            <w:r w:rsidRPr="00177DB9">
              <w:rPr>
                <w:rFonts w:asciiTheme="majorHAnsi" w:hAnsiTheme="majorHAnsi" w:cstheme="majorHAnsi"/>
              </w:rPr>
              <w:t xml:space="preserve"> and </w:t>
            </w:r>
            <w:proofErr w:type="spellStart"/>
            <w:r w:rsidRPr="00177DB9">
              <w:rPr>
                <w:rFonts w:asciiTheme="majorHAnsi" w:hAnsiTheme="majorHAnsi" w:cstheme="majorHAnsi"/>
              </w:rPr>
              <w:t>standardized</w:t>
            </w:r>
            <w:proofErr w:type="spellEnd"/>
            <w:r w:rsidRPr="00177DB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177DB9">
              <w:rPr>
                <w:rFonts w:asciiTheme="majorHAnsi" w:hAnsiTheme="majorHAnsi" w:cstheme="majorHAnsi"/>
              </w:rPr>
              <w:t>domain</w:t>
            </w:r>
            <w:proofErr w:type="spellEnd"/>
            <w:r w:rsidRPr="00177DB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177DB9">
              <w:rPr>
                <w:rFonts w:asciiTheme="majorHAnsi" w:hAnsiTheme="majorHAnsi" w:cstheme="majorHAnsi"/>
              </w:rPr>
              <w:t>parameters</w:t>
            </w:r>
            <w:proofErr w:type="spellEnd"/>
          </w:p>
        </w:tc>
        <w:tc>
          <w:tcPr>
            <w:tcW w:w="4058" w:type="dxa"/>
          </w:tcPr>
          <w:p w14:paraId="6810ED2E" w14:textId="11D3B073" w:rsidR="005C7D75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7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3</w:t>
            </w:r>
          </w:p>
        </w:tc>
        <w:tc>
          <w:tcPr>
            <w:tcW w:w="2490" w:type="dxa"/>
          </w:tcPr>
          <w:p w14:paraId="6C67FAEA" w14:textId="77777777" w:rsidR="005C7D75" w:rsidRPr="00D66140" w:rsidRDefault="005C7D75" w:rsidP="005C7D75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6CEC337D" w14:textId="77777777" w:rsidR="00A8068E" w:rsidRPr="00D66140" w:rsidRDefault="00A8068E" w:rsidP="00F92ECE">
      <w:pPr>
        <w:rPr>
          <w:rFonts w:ascii="Arial" w:hAnsi="Arial" w:cs="Arial"/>
          <w:lang w:val="en-US"/>
        </w:rPr>
      </w:pPr>
    </w:p>
    <w:p w14:paraId="353666BD" w14:textId="155F5DF9" w:rsidR="00A8068E" w:rsidRPr="00D66140" w:rsidRDefault="00055EF5" w:rsidP="00A8068E">
      <w:pPr>
        <w:jc w:val="center"/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b/>
          <w:bCs/>
          <w:sz w:val="28"/>
          <w:szCs w:val="28"/>
          <w:lang w:val="en-US"/>
        </w:rPr>
        <w:t xml:space="preserve">ACCEPTANCE PROCEDURE OF </w:t>
      </w:r>
      <w:r w:rsidR="00A8068E" w:rsidRPr="00D66140">
        <w:rPr>
          <w:rFonts w:ascii="Arial" w:hAnsi="Arial" w:cs="Arial"/>
          <w:b/>
          <w:bCs/>
          <w:sz w:val="28"/>
          <w:szCs w:val="28"/>
          <w:lang w:val="en-US"/>
        </w:rPr>
        <w:t>SAMPLE SET 3 TESTING</w:t>
      </w:r>
    </w:p>
    <w:p w14:paraId="646FA908" w14:textId="77777777" w:rsidR="00A8068E" w:rsidRPr="00D66140" w:rsidRDefault="00A8068E" w:rsidP="00A8068E">
      <w:p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lastRenderedPageBreak/>
        <w:t xml:space="preserve">Prerequisites: </w:t>
      </w:r>
    </w:p>
    <w:p w14:paraId="2AB4829B" w14:textId="6CF0C4F7" w:rsidR="00A8068E" w:rsidRPr="00D66140" w:rsidRDefault="00D0147D" w:rsidP="00055EF5">
      <w:pPr>
        <w:pStyle w:val="Odstavecseseznamem"/>
        <w:numPr>
          <w:ilvl w:val="0"/>
          <w:numId w:val="11"/>
        </w:numPr>
        <w:rPr>
          <w:rFonts w:ascii="Arial" w:hAnsi="Arial" w:cs="Arial"/>
          <w:lang w:val="en-US"/>
        </w:rPr>
      </w:pPr>
      <w:r w:rsidRPr="009C0D98">
        <w:rPr>
          <w:rFonts w:ascii="Arial" w:hAnsi="Arial" w:cs="Arial"/>
          <w:lang w:val="en-US"/>
        </w:rPr>
        <w:t xml:space="preserve">500 </w:t>
      </w:r>
      <w:r w:rsidR="00A8068E" w:rsidRPr="009C0D98">
        <w:rPr>
          <w:rFonts w:ascii="Arial" w:hAnsi="Arial" w:cs="Arial"/>
          <w:lang w:val="en-US"/>
        </w:rPr>
        <w:t>modules on reel</w:t>
      </w:r>
      <w:r w:rsidR="00A8068E" w:rsidRPr="00BF38B8">
        <w:rPr>
          <w:rFonts w:ascii="Arial" w:hAnsi="Arial" w:cs="Arial"/>
          <w:lang w:val="en-US"/>
        </w:rPr>
        <w:t>, specific</w:t>
      </w:r>
      <w:r w:rsidR="00A8068E" w:rsidRPr="00D66140">
        <w:rPr>
          <w:rFonts w:ascii="Arial" w:hAnsi="Arial" w:cs="Arial"/>
          <w:lang w:val="en-US"/>
        </w:rPr>
        <w:t xml:space="preserve"> initialization according to requirements of the Buyer, testing diversified transport key, testing key ceremony implemented </w:t>
      </w:r>
    </w:p>
    <w:p w14:paraId="6A0340F5" w14:textId="0C0B7517" w:rsidR="00A8068E" w:rsidRPr="00D66140" w:rsidRDefault="00A8068E" w:rsidP="00055EF5">
      <w:pPr>
        <w:pStyle w:val="Odstavecseseznamem"/>
        <w:numPr>
          <w:ilvl w:val="0"/>
          <w:numId w:val="11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Contact chip module technical drawing </w:t>
      </w:r>
    </w:p>
    <w:p w14:paraId="19DFF03E" w14:textId="0CF8F342" w:rsidR="00A8068E" w:rsidRPr="00D66140" w:rsidRDefault="00A8068E" w:rsidP="00055EF5">
      <w:pPr>
        <w:pStyle w:val="Odstavecseseznamem"/>
        <w:numPr>
          <w:ilvl w:val="0"/>
          <w:numId w:val="11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Personalization manual provided together with the sample SET 3 – fully describing all the aspects of the personalization of the chip </w:t>
      </w:r>
    </w:p>
    <w:p w14:paraId="3F1029F4" w14:textId="29B66322" w:rsidR="00A8068E" w:rsidRPr="00D66140" w:rsidRDefault="00A8068E" w:rsidP="00055EF5">
      <w:pPr>
        <w:pStyle w:val="Odstavecseseznamem"/>
        <w:numPr>
          <w:ilvl w:val="0"/>
          <w:numId w:val="11"/>
        </w:num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Example of personalization script to be provided together with the sample SET 3 </w:t>
      </w:r>
    </w:p>
    <w:p w14:paraId="6A264EA7" w14:textId="669D8359" w:rsidR="00A8068E" w:rsidRPr="00D66140" w:rsidRDefault="00055EF5" w:rsidP="00A8068E">
      <w:pPr>
        <w:rPr>
          <w:rFonts w:ascii="Arial" w:hAnsi="Arial" w:cs="Arial"/>
          <w:lang w:val="en-US"/>
        </w:rPr>
      </w:pPr>
      <w:r w:rsidRPr="00D66140">
        <w:rPr>
          <w:rFonts w:ascii="Arial" w:hAnsi="Arial" w:cs="Arial"/>
          <w:lang w:val="en-US"/>
        </w:rPr>
        <w:t xml:space="preserve">The main goal of Sample SET 3 acceptance testing is to verify the correctness of the smart card production process, </w:t>
      </w:r>
      <w:r w:rsidRPr="00D66140">
        <w:rPr>
          <w:rFonts w:ascii="Arial" w:hAnsi="Arial" w:cs="Arial"/>
          <w:b/>
          <w:bCs/>
          <w:lang w:val="en-US"/>
        </w:rPr>
        <w:t>specifically embedding of contact chip module into the ID1 plastic card</w:t>
      </w:r>
      <w:r w:rsidRPr="00D66140">
        <w:rPr>
          <w:rFonts w:ascii="Arial" w:hAnsi="Arial" w:cs="Arial"/>
          <w:lang w:val="en-US"/>
        </w:rPr>
        <w:t>.</w:t>
      </w:r>
    </w:p>
    <w:p w14:paraId="095D89D5" w14:textId="77777777" w:rsidR="000B4D8E" w:rsidRPr="00D66140" w:rsidRDefault="000B4D8E" w:rsidP="000B4D8E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Testing</w:t>
      </w:r>
      <w:r w:rsidRPr="00D66140">
        <w:rPr>
          <w:rFonts w:ascii="Arial" w:hAnsi="Arial" w:cs="Arial"/>
          <w:b/>
          <w:bCs/>
          <w:lang w:val="en-US"/>
        </w:rPr>
        <w:t xml:space="preserve"> scenarios:</w:t>
      </w:r>
    </w:p>
    <w:tbl>
      <w:tblPr>
        <w:tblStyle w:val="Mkatabulky"/>
        <w:tblW w:w="9108" w:type="dxa"/>
        <w:tblLook w:val="04A0" w:firstRow="1" w:lastRow="0" w:firstColumn="1" w:lastColumn="0" w:noHBand="0" w:noVBand="1"/>
      </w:tblPr>
      <w:tblGrid>
        <w:gridCol w:w="2560"/>
        <w:gridCol w:w="4058"/>
        <w:gridCol w:w="2490"/>
      </w:tblGrid>
      <w:tr w:rsidR="000B4D8E" w:rsidRPr="00D66140" w14:paraId="4F86E4A4" w14:textId="77777777" w:rsidTr="00360FE7">
        <w:tc>
          <w:tcPr>
            <w:tcW w:w="2560" w:type="dxa"/>
            <w:shd w:val="clear" w:color="auto" w:fill="D5DCE4" w:themeFill="text2" w:themeFillTint="33"/>
          </w:tcPr>
          <w:p w14:paraId="1B3F338A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Test case</w:t>
            </w:r>
          </w:p>
        </w:tc>
        <w:tc>
          <w:tcPr>
            <w:tcW w:w="4058" w:type="dxa"/>
            <w:shd w:val="clear" w:color="auto" w:fill="D5DCE4" w:themeFill="text2" w:themeFillTint="33"/>
          </w:tcPr>
          <w:p w14:paraId="62A8EFF3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Description</w:t>
            </w:r>
          </w:p>
        </w:tc>
        <w:tc>
          <w:tcPr>
            <w:tcW w:w="2490" w:type="dxa"/>
            <w:shd w:val="clear" w:color="auto" w:fill="D5DCE4" w:themeFill="text2" w:themeFillTint="33"/>
          </w:tcPr>
          <w:p w14:paraId="060A2DAC" w14:textId="77777777" w:rsidR="000B4D8E" w:rsidRPr="00D66140" w:rsidRDefault="000B4D8E" w:rsidP="00360FE7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D66140">
              <w:rPr>
                <w:rFonts w:ascii="Arial" w:hAnsi="Arial" w:cs="Arial"/>
                <w:b/>
                <w:bCs/>
                <w:lang w:val="en-US"/>
              </w:rPr>
              <w:t>Passed/Failed</w:t>
            </w:r>
          </w:p>
        </w:tc>
      </w:tr>
      <w:tr w:rsidR="000B4D8E" w:rsidRPr="00D66140" w14:paraId="524E0E9E" w14:textId="77777777" w:rsidTr="00360FE7">
        <w:tc>
          <w:tcPr>
            <w:tcW w:w="2560" w:type="dxa"/>
          </w:tcPr>
          <w:p w14:paraId="04FE5A86" w14:textId="434BC73F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Production</w:t>
            </w:r>
            <w:r w:rsidRPr="00D66140">
              <w:rPr>
                <w:rFonts w:asciiTheme="majorHAnsi" w:hAnsiTheme="majorHAnsi" w:cstheme="majorHAnsi"/>
                <w:lang w:val="en-US"/>
              </w:rPr>
              <w:t xml:space="preserve"> scenario 1</w:t>
            </w:r>
          </w:p>
        </w:tc>
        <w:tc>
          <w:tcPr>
            <w:tcW w:w="4058" w:type="dxa"/>
          </w:tcPr>
          <w:p w14:paraId="2CE36C38" w14:textId="40BE52CB" w:rsidR="000B4D8E" w:rsidRPr="00D66140" w:rsidRDefault="000B4D8E" w:rsidP="00360FE7">
            <w:pPr>
              <w:ind w:left="21" w:hanging="10"/>
              <w:rPr>
                <w:rFonts w:asciiTheme="majorHAnsi" w:hAnsiTheme="majorHAnsi" w:cstheme="majorHAnsi"/>
                <w:lang w:val="en-US"/>
              </w:rPr>
            </w:pPr>
            <w:r w:rsidRPr="000B4D8E">
              <w:rPr>
                <w:rFonts w:asciiTheme="majorHAnsi" w:hAnsiTheme="majorHAnsi" w:cstheme="majorHAnsi"/>
                <w:lang w:val="en-US"/>
              </w:rPr>
              <w:t>Embedding of contact chip modules into the ID1 plastic card</w:t>
            </w:r>
          </w:p>
        </w:tc>
        <w:tc>
          <w:tcPr>
            <w:tcW w:w="2490" w:type="dxa"/>
          </w:tcPr>
          <w:p w14:paraId="2BBB7A42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5755B219" w14:textId="77777777" w:rsidTr="00360FE7">
        <w:tc>
          <w:tcPr>
            <w:tcW w:w="2560" w:type="dxa"/>
          </w:tcPr>
          <w:p w14:paraId="2DE7E6FE" w14:textId="5E248D80" w:rsidR="000B4D8E" w:rsidRPr="00D66140" w:rsidRDefault="00C33619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33619">
              <w:rPr>
                <w:rFonts w:asciiTheme="majorHAnsi" w:hAnsiTheme="majorHAnsi" w:cstheme="majorHAnsi"/>
              </w:rPr>
              <w:t>Mechanical</w:t>
            </w:r>
            <w:proofErr w:type="spellEnd"/>
            <w:r w:rsidRPr="00C3361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C33619">
              <w:rPr>
                <w:rFonts w:asciiTheme="majorHAnsi" w:hAnsiTheme="majorHAnsi" w:cstheme="majorHAnsi"/>
              </w:rPr>
              <w:t>test</w:t>
            </w:r>
            <w:r>
              <w:rPr>
                <w:rFonts w:asciiTheme="majorHAnsi" w:hAnsiTheme="majorHAnsi" w:cstheme="majorHAnsi"/>
              </w:rPr>
              <w:t xml:space="preserve"> -</w:t>
            </w:r>
            <w:r w:rsidRPr="00C3361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Bending</w:t>
            </w:r>
            <w:proofErr w:type="spellEnd"/>
            <w:proofErr w:type="gramEnd"/>
          </w:p>
        </w:tc>
        <w:tc>
          <w:tcPr>
            <w:tcW w:w="4058" w:type="dxa"/>
          </w:tcPr>
          <w:p w14:paraId="3495612F" w14:textId="6F0B9CCA" w:rsidR="000B4D8E" w:rsidRPr="00D66140" w:rsidRDefault="00C33619" w:rsidP="00C33619">
            <w:pPr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2.3</w:t>
            </w:r>
          </w:p>
        </w:tc>
        <w:tc>
          <w:tcPr>
            <w:tcW w:w="2490" w:type="dxa"/>
          </w:tcPr>
          <w:p w14:paraId="61BE29C7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33619" w:rsidRPr="00D66140" w14:paraId="549AA4EC" w14:textId="77777777" w:rsidTr="00360FE7">
        <w:tc>
          <w:tcPr>
            <w:tcW w:w="2560" w:type="dxa"/>
          </w:tcPr>
          <w:p w14:paraId="3E61641D" w14:textId="333CB48A" w:rsidR="00C33619" w:rsidRPr="00C33619" w:rsidRDefault="00C33619" w:rsidP="00360FE7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C33619">
              <w:rPr>
                <w:rFonts w:asciiTheme="majorHAnsi" w:hAnsiTheme="majorHAnsi" w:cstheme="majorHAnsi"/>
              </w:rPr>
              <w:t>Mechanical</w:t>
            </w:r>
            <w:proofErr w:type="spellEnd"/>
            <w:r w:rsidRPr="00C3361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C33619">
              <w:rPr>
                <w:rFonts w:asciiTheme="majorHAnsi" w:hAnsiTheme="majorHAnsi" w:cstheme="majorHAnsi"/>
              </w:rPr>
              <w:t>test</w:t>
            </w:r>
            <w:r>
              <w:rPr>
                <w:rFonts w:asciiTheme="majorHAnsi" w:hAnsiTheme="majorHAnsi" w:cstheme="majorHAnsi"/>
              </w:rPr>
              <w:t xml:space="preserve"> -</w:t>
            </w:r>
            <w:r w:rsidRPr="00C3361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Torsion</w:t>
            </w:r>
            <w:proofErr w:type="spellEnd"/>
            <w:proofErr w:type="gramEnd"/>
          </w:p>
        </w:tc>
        <w:tc>
          <w:tcPr>
            <w:tcW w:w="4058" w:type="dxa"/>
          </w:tcPr>
          <w:p w14:paraId="394A8B65" w14:textId="7F224BA8" w:rsidR="00C33619" w:rsidRDefault="00C33619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2.3</w:t>
            </w:r>
          </w:p>
        </w:tc>
        <w:tc>
          <w:tcPr>
            <w:tcW w:w="2490" w:type="dxa"/>
          </w:tcPr>
          <w:p w14:paraId="7BD279E1" w14:textId="77777777" w:rsidR="00C33619" w:rsidRPr="00D66140" w:rsidRDefault="00C33619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B4D8E" w:rsidRPr="00D66140" w14:paraId="2446A3D1" w14:textId="77777777" w:rsidTr="00360FE7">
        <w:tc>
          <w:tcPr>
            <w:tcW w:w="2560" w:type="dxa"/>
          </w:tcPr>
          <w:p w14:paraId="0D9E5E20" w14:textId="634CBB66" w:rsidR="000B4D8E" w:rsidRPr="00D66140" w:rsidRDefault="00B70631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Modul</w:t>
            </w:r>
            <w:r w:rsidR="00C33619">
              <w:rPr>
                <w:rFonts w:asciiTheme="majorHAnsi" w:hAnsiTheme="majorHAnsi" w:cstheme="majorHAnsi"/>
                <w:lang w:val="en-US"/>
              </w:rPr>
              <w:t>e – Surface profile</w:t>
            </w:r>
          </w:p>
        </w:tc>
        <w:tc>
          <w:tcPr>
            <w:tcW w:w="4058" w:type="dxa"/>
          </w:tcPr>
          <w:p w14:paraId="0F8D9A77" w14:textId="342C2B16" w:rsidR="000B4D8E" w:rsidRPr="00D66140" w:rsidRDefault="00C33619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3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.1</w:t>
            </w:r>
          </w:p>
        </w:tc>
        <w:tc>
          <w:tcPr>
            <w:tcW w:w="2490" w:type="dxa"/>
          </w:tcPr>
          <w:p w14:paraId="466B7A7B" w14:textId="77777777" w:rsidR="000B4D8E" w:rsidRPr="00D66140" w:rsidRDefault="000B4D8E" w:rsidP="00360FE7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C00E33" w:rsidRPr="00D66140" w14:paraId="314A7CD5" w14:textId="77777777" w:rsidTr="00360FE7">
        <w:tc>
          <w:tcPr>
            <w:tcW w:w="2560" w:type="dxa"/>
          </w:tcPr>
          <w:p w14:paraId="701C2A47" w14:textId="7C82C54D" w:rsidR="00C00E33" w:rsidRDefault="00C00E33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Module – Dimensions</w:t>
            </w:r>
          </w:p>
        </w:tc>
        <w:tc>
          <w:tcPr>
            <w:tcW w:w="4058" w:type="dxa"/>
          </w:tcPr>
          <w:p w14:paraId="038EE09B" w14:textId="3A72A350" w:rsidR="00C00E33" w:rsidRPr="00C33619" w:rsidRDefault="00C00E33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3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.1</w:t>
            </w:r>
          </w:p>
        </w:tc>
        <w:tc>
          <w:tcPr>
            <w:tcW w:w="2490" w:type="dxa"/>
          </w:tcPr>
          <w:p w14:paraId="1B4B42B3" w14:textId="77777777" w:rsidR="00C00E33" w:rsidRPr="00D66140" w:rsidRDefault="00C00E33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44D45" w:rsidRPr="00D66140" w14:paraId="47BC0F17" w14:textId="77777777" w:rsidTr="00360FE7">
        <w:tc>
          <w:tcPr>
            <w:tcW w:w="2560" w:type="dxa"/>
          </w:tcPr>
          <w:p w14:paraId="69C5E50B" w14:textId="6199CB33" w:rsidR="00644D45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Modul - Mechanical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strenght</w:t>
            </w:r>
            <w:proofErr w:type="spellEnd"/>
          </w:p>
        </w:tc>
        <w:tc>
          <w:tcPr>
            <w:tcW w:w="4058" w:type="dxa"/>
          </w:tcPr>
          <w:p w14:paraId="67F0B8ED" w14:textId="4084697F" w:rsidR="00644D45" w:rsidRPr="00C33619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3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.1</w:t>
            </w:r>
          </w:p>
        </w:tc>
        <w:tc>
          <w:tcPr>
            <w:tcW w:w="2490" w:type="dxa"/>
          </w:tcPr>
          <w:p w14:paraId="18F34573" w14:textId="77777777" w:rsidR="00644D45" w:rsidRPr="00D66140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44D45" w:rsidRPr="00D66140" w14:paraId="5089A97A" w14:textId="77777777" w:rsidTr="00360FE7">
        <w:tc>
          <w:tcPr>
            <w:tcW w:w="2560" w:type="dxa"/>
          </w:tcPr>
          <w:p w14:paraId="3C20004F" w14:textId="26ECC284" w:rsidR="00644D45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Modul – Electrical resistance (of contact)</w:t>
            </w:r>
          </w:p>
        </w:tc>
        <w:tc>
          <w:tcPr>
            <w:tcW w:w="4058" w:type="dxa"/>
          </w:tcPr>
          <w:p w14:paraId="32B8B1BD" w14:textId="55F68022" w:rsidR="00644D45" w:rsidRPr="00C33619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C33619">
              <w:rPr>
                <w:rFonts w:asciiTheme="majorHAnsi" w:hAnsiTheme="majorHAnsi" w:cstheme="majorHAnsi"/>
                <w:b/>
                <w:bCs/>
                <w:lang w:val="en-US"/>
              </w:rPr>
              <w:t>3</w:t>
            </w:r>
            <w:r>
              <w:rPr>
                <w:rFonts w:asciiTheme="majorHAnsi" w:hAnsiTheme="majorHAnsi" w:cstheme="majorHAnsi"/>
                <w:b/>
                <w:bCs/>
                <w:lang w:val="en-US"/>
              </w:rPr>
              <w:t>.1</w:t>
            </w:r>
          </w:p>
        </w:tc>
        <w:tc>
          <w:tcPr>
            <w:tcW w:w="2490" w:type="dxa"/>
          </w:tcPr>
          <w:p w14:paraId="72876DBC" w14:textId="77777777" w:rsidR="00644D45" w:rsidRPr="00D66140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44D45" w:rsidRPr="00D66140" w14:paraId="23BDA26D" w14:textId="77777777" w:rsidTr="00360FE7">
        <w:tc>
          <w:tcPr>
            <w:tcW w:w="2560" w:type="dxa"/>
          </w:tcPr>
          <w:p w14:paraId="6C55D2D7" w14:textId="1886A743" w:rsidR="00644D45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Chip – climatic testing</w:t>
            </w:r>
          </w:p>
        </w:tc>
        <w:tc>
          <w:tcPr>
            <w:tcW w:w="4058" w:type="dxa"/>
          </w:tcPr>
          <w:p w14:paraId="33867845" w14:textId="1279EC47" w:rsidR="00644D45" w:rsidRPr="00C33619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 w:rsidRPr="00C33619">
              <w:rPr>
                <w:rFonts w:asciiTheme="majorHAnsi" w:hAnsiTheme="majorHAnsi" w:cstheme="majorHAnsi"/>
                <w:lang w:val="en-US"/>
              </w:rPr>
              <w:t>Annex 1C of appendix 9 of Commission implementing Regulation (EU) 2016/799</w:t>
            </w:r>
            <w:r>
              <w:rPr>
                <w:rFonts w:asciiTheme="majorHAnsi" w:hAnsiTheme="majorHAnsi" w:cstheme="majorHAnsi"/>
                <w:lang w:val="en-US"/>
              </w:rPr>
              <w:t xml:space="preserve"> – section </w:t>
            </w:r>
            <w:r w:rsidRPr="009C0D98">
              <w:rPr>
                <w:rFonts w:asciiTheme="majorHAnsi" w:hAnsiTheme="majorHAnsi" w:cstheme="majorHAnsi"/>
                <w:b/>
                <w:bCs/>
                <w:lang w:val="en-US"/>
              </w:rPr>
              <w:t>4.1</w:t>
            </w:r>
          </w:p>
        </w:tc>
        <w:tc>
          <w:tcPr>
            <w:tcW w:w="2490" w:type="dxa"/>
          </w:tcPr>
          <w:p w14:paraId="48C0B3C7" w14:textId="77777777" w:rsidR="00644D45" w:rsidRPr="00D66140" w:rsidRDefault="00644D45" w:rsidP="00C00E33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3CE3C731" w14:textId="77777777" w:rsidR="000B4D8E" w:rsidRPr="00055EF5" w:rsidRDefault="000B4D8E" w:rsidP="00F92ECE">
      <w:pPr>
        <w:rPr>
          <w:rFonts w:ascii="Arial" w:hAnsi="Arial" w:cs="Arial"/>
          <w:lang w:val="en-US"/>
        </w:rPr>
      </w:pPr>
    </w:p>
    <w:sectPr w:rsidR="000B4D8E" w:rsidRPr="00055EF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1189A" w14:textId="77777777" w:rsidR="0056383F" w:rsidRDefault="0056383F" w:rsidP="001E6D64">
      <w:pPr>
        <w:spacing w:after="0" w:line="240" w:lineRule="auto"/>
      </w:pPr>
      <w:r>
        <w:separator/>
      </w:r>
    </w:p>
  </w:endnote>
  <w:endnote w:type="continuationSeparator" w:id="0">
    <w:p w14:paraId="25FDDB6E" w14:textId="77777777" w:rsidR="0056383F" w:rsidRDefault="0056383F" w:rsidP="001E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8B40F" w14:textId="77777777" w:rsidR="0056383F" w:rsidRDefault="0056383F" w:rsidP="001E6D64">
      <w:pPr>
        <w:spacing w:after="0" w:line="240" w:lineRule="auto"/>
      </w:pPr>
      <w:r>
        <w:separator/>
      </w:r>
    </w:p>
  </w:footnote>
  <w:footnote w:type="continuationSeparator" w:id="0">
    <w:p w14:paraId="45E53297" w14:textId="77777777" w:rsidR="0056383F" w:rsidRDefault="0056383F" w:rsidP="001E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ACF1C" w14:textId="2AB8D4B5" w:rsidR="00B647DC" w:rsidRPr="007F1395" w:rsidRDefault="00B647DC" w:rsidP="00B647DC">
    <w:pPr>
      <w:jc w:val="right"/>
      <w:rPr>
        <w:rFonts w:ascii="Calibri" w:hAnsi="Calibri" w:cs="Calibri"/>
        <w:sz w:val="24"/>
        <w:szCs w:val="24"/>
      </w:rPr>
    </w:pPr>
    <w:proofErr w:type="spellStart"/>
    <w:r w:rsidRPr="007F1395">
      <w:rPr>
        <w:rFonts w:ascii="Calibri" w:hAnsi="Calibri" w:cs="Calibri"/>
        <w:sz w:val="24"/>
        <w:szCs w:val="24"/>
      </w:rPr>
      <w:t>Annex</w:t>
    </w:r>
    <w:proofErr w:type="spellEnd"/>
    <w:r w:rsidRPr="007F1395">
      <w:rPr>
        <w:rFonts w:ascii="Calibri" w:hAnsi="Calibri" w:cs="Calibri"/>
        <w:sz w:val="24"/>
        <w:szCs w:val="24"/>
      </w:rPr>
      <w:t xml:space="preserve"> No. 1</w:t>
    </w:r>
    <w:r w:rsidR="003F3B7D">
      <w:rPr>
        <w:rFonts w:ascii="Calibri" w:hAnsi="Calibri" w:cs="Calibri"/>
        <w:sz w:val="24"/>
        <w:szCs w:val="24"/>
      </w:rPr>
      <w:t>f</w:t>
    </w:r>
    <w:r w:rsidRPr="007F1395">
      <w:rPr>
        <w:rFonts w:ascii="Calibri" w:hAnsi="Calibri" w:cs="Calibri"/>
        <w:sz w:val="24"/>
        <w:szCs w:val="24"/>
      </w:rPr>
      <w:t xml:space="preserve"> to </w:t>
    </w:r>
    <w:proofErr w:type="spellStart"/>
    <w:r w:rsidRPr="007F1395">
      <w:rPr>
        <w:rFonts w:ascii="Calibri" w:hAnsi="Calibri" w:cs="Calibri"/>
        <w:sz w:val="24"/>
        <w:szCs w:val="24"/>
      </w:rPr>
      <w:t>the</w:t>
    </w:r>
    <w:proofErr w:type="spellEnd"/>
    <w:r w:rsidRPr="007F1395">
      <w:rPr>
        <w:rFonts w:ascii="Calibri" w:hAnsi="Calibri" w:cs="Calibri"/>
        <w:sz w:val="24"/>
        <w:szCs w:val="24"/>
      </w:rPr>
      <w:t xml:space="preserve"> Framework </w:t>
    </w:r>
    <w:proofErr w:type="spellStart"/>
    <w:r w:rsidRPr="007F1395">
      <w:rPr>
        <w:rFonts w:ascii="Calibri" w:hAnsi="Calibri" w:cs="Calibri"/>
        <w:sz w:val="24"/>
        <w:szCs w:val="24"/>
      </w:rPr>
      <w:t>Agreement</w:t>
    </w:r>
    <w:proofErr w:type="spellEnd"/>
    <w:r w:rsidRPr="007F1395">
      <w:rPr>
        <w:rFonts w:ascii="Calibri" w:hAnsi="Calibri" w:cs="Calibri"/>
        <w:sz w:val="24"/>
        <w:szCs w:val="24"/>
      </w:rPr>
      <w:t xml:space="preserve"> No. 046/OS/2025</w:t>
    </w:r>
  </w:p>
  <w:p w14:paraId="2282F63C" w14:textId="77777777" w:rsidR="00B647DC" w:rsidRDefault="00B647DC" w:rsidP="009C0D9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842C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5560A4"/>
    <w:multiLevelType w:val="hybridMultilevel"/>
    <w:tmpl w:val="4AE219C6"/>
    <w:lvl w:ilvl="0" w:tplc="0B62EA52">
      <w:start w:val="1"/>
      <w:numFmt w:val="decimal"/>
      <w:lvlText w:val="(%1)"/>
      <w:lvlJc w:val="left"/>
      <w:pPr>
        <w:ind w:left="360" w:firstLine="0"/>
      </w:pPr>
      <w:rPr>
        <w:rFonts w:hint="default"/>
        <w:b/>
        <w:bCs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B99"/>
    <w:multiLevelType w:val="hybridMultilevel"/>
    <w:tmpl w:val="7E82B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E189A"/>
    <w:multiLevelType w:val="hybridMultilevel"/>
    <w:tmpl w:val="1284A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16C23"/>
    <w:multiLevelType w:val="hybridMultilevel"/>
    <w:tmpl w:val="89363DA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170A5"/>
    <w:multiLevelType w:val="hybridMultilevel"/>
    <w:tmpl w:val="7E1ED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D71F2"/>
    <w:multiLevelType w:val="hybridMultilevel"/>
    <w:tmpl w:val="E77E4A3E"/>
    <w:lvl w:ilvl="0" w:tplc="BF1AF6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8FBB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64C2CAD"/>
    <w:multiLevelType w:val="hybridMultilevel"/>
    <w:tmpl w:val="62469604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6811349C"/>
    <w:multiLevelType w:val="hybridMultilevel"/>
    <w:tmpl w:val="748EF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712E3"/>
    <w:multiLevelType w:val="hybridMultilevel"/>
    <w:tmpl w:val="5F3AC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030492">
    <w:abstractNumId w:val="9"/>
  </w:num>
  <w:num w:numId="2" w16cid:durableId="27881688">
    <w:abstractNumId w:val="6"/>
  </w:num>
  <w:num w:numId="3" w16cid:durableId="2030451620">
    <w:abstractNumId w:val="11"/>
  </w:num>
  <w:num w:numId="4" w16cid:durableId="1216504656">
    <w:abstractNumId w:val="10"/>
  </w:num>
  <w:num w:numId="5" w16cid:durableId="195050805">
    <w:abstractNumId w:val="5"/>
  </w:num>
  <w:num w:numId="6" w16cid:durableId="785320370">
    <w:abstractNumId w:val="1"/>
  </w:num>
  <w:num w:numId="7" w16cid:durableId="625432459">
    <w:abstractNumId w:val="7"/>
  </w:num>
  <w:num w:numId="8" w16cid:durableId="1397120096">
    <w:abstractNumId w:val="4"/>
  </w:num>
  <w:num w:numId="9" w16cid:durableId="1263607156">
    <w:abstractNumId w:val="0"/>
  </w:num>
  <w:num w:numId="10" w16cid:durableId="1632057183">
    <w:abstractNumId w:val="8"/>
  </w:num>
  <w:num w:numId="11" w16cid:durableId="1016928027">
    <w:abstractNumId w:val="3"/>
  </w:num>
  <w:num w:numId="12" w16cid:durableId="1856000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CE"/>
    <w:rsid w:val="00000427"/>
    <w:rsid w:val="00024959"/>
    <w:rsid w:val="000368E4"/>
    <w:rsid w:val="00055EF5"/>
    <w:rsid w:val="000B4D8E"/>
    <w:rsid w:val="000E01AC"/>
    <w:rsid w:val="00100A7D"/>
    <w:rsid w:val="00177DB9"/>
    <w:rsid w:val="001A23BA"/>
    <w:rsid w:val="001A5525"/>
    <w:rsid w:val="001E6D64"/>
    <w:rsid w:val="001E7133"/>
    <w:rsid w:val="001F71BD"/>
    <w:rsid w:val="002034AB"/>
    <w:rsid w:val="002070D6"/>
    <w:rsid w:val="00207AA3"/>
    <w:rsid w:val="002338C2"/>
    <w:rsid w:val="002715F7"/>
    <w:rsid w:val="00287D9B"/>
    <w:rsid w:val="002E1EB6"/>
    <w:rsid w:val="00315C9E"/>
    <w:rsid w:val="00324694"/>
    <w:rsid w:val="003A0D70"/>
    <w:rsid w:val="003A73FC"/>
    <w:rsid w:val="003C23C2"/>
    <w:rsid w:val="003F147A"/>
    <w:rsid w:val="003F3B7D"/>
    <w:rsid w:val="00452910"/>
    <w:rsid w:val="004556B6"/>
    <w:rsid w:val="0045578B"/>
    <w:rsid w:val="004A3F45"/>
    <w:rsid w:val="004C0587"/>
    <w:rsid w:val="004D1886"/>
    <w:rsid w:val="004D678F"/>
    <w:rsid w:val="004E463E"/>
    <w:rsid w:val="004F237E"/>
    <w:rsid w:val="00556C44"/>
    <w:rsid w:val="0056383F"/>
    <w:rsid w:val="005A76DC"/>
    <w:rsid w:val="005C7D75"/>
    <w:rsid w:val="005E1093"/>
    <w:rsid w:val="00644D45"/>
    <w:rsid w:val="00684DEE"/>
    <w:rsid w:val="006D46A3"/>
    <w:rsid w:val="007033FE"/>
    <w:rsid w:val="00706549"/>
    <w:rsid w:val="0072411A"/>
    <w:rsid w:val="00746A19"/>
    <w:rsid w:val="00786D44"/>
    <w:rsid w:val="007B2A54"/>
    <w:rsid w:val="007B2E2C"/>
    <w:rsid w:val="007F70E8"/>
    <w:rsid w:val="00844BC8"/>
    <w:rsid w:val="00870DFC"/>
    <w:rsid w:val="0088742C"/>
    <w:rsid w:val="00910BCB"/>
    <w:rsid w:val="0091310F"/>
    <w:rsid w:val="00917A79"/>
    <w:rsid w:val="00935CD2"/>
    <w:rsid w:val="009B7ED3"/>
    <w:rsid w:val="009C0D98"/>
    <w:rsid w:val="009F7E3A"/>
    <w:rsid w:val="00A44F4A"/>
    <w:rsid w:val="00A5435B"/>
    <w:rsid w:val="00A8068E"/>
    <w:rsid w:val="00AE5BB3"/>
    <w:rsid w:val="00AF6B67"/>
    <w:rsid w:val="00B25081"/>
    <w:rsid w:val="00B27D31"/>
    <w:rsid w:val="00B47C04"/>
    <w:rsid w:val="00B62D72"/>
    <w:rsid w:val="00B647DC"/>
    <w:rsid w:val="00B70631"/>
    <w:rsid w:val="00BB1825"/>
    <w:rsid w:val="00BB76D0"/>
    <w:rsid w:val="00BF38B8"/>
    <w:rsid w:val="00C00E33"/>
    <w:rsid w:val="00C011F1"/>
    <w:rsid w:val="00C141BF"/>
    <w:rsid w:val="00C31DFB"/>
    <w:rsid w:val="00C33619"/>
    <w:rsid w:val="00C36EEB"/>
    <w:rsid w:val="00C61349"/>
    <w:rsid w:val="00C87244"/>
    <w:rsid w:val="00CB78C2"/>
    <w:rsid w:val="00CC7C66"/>
    <w:rsid w:val="00CF3D29"/>
    <w:rsid w:val="00D0147D"/>
    <w:rsid w:val="00D331F5"/>
    <w:rsid w:val="00D36811"/>
    <w:rsid w:val="00D66140"/>
    <w:rsid w:val="00D87AA0"/>
    <w:rsid w:val="00E02E20"/>
    <w:rsid w:val="00E0423D"/>
    <w:rsid w:val="00E14DAB"/>
    <w:rsid w:val="00E22365"/>
    <w:rsid w:val="00E375D5"/>
    <w:rsid w:val="00E8063C"/>
    <w:rsid w:val="00E844DB"/>
    <w:rsid w:val="00E9091E"/>
    <w:rsid w:val="00ED6F5A"/>
    <w:rsid w:val="00F16A82"/>
    <w:rsid w:val="00F438BC"/>
    <w:rsid w:val="00F55691"/>
    <w:rsid w:val="00F92ECE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D1C2"/>
  <w15:chartTrackingRefBased/>
  <w15:docId w15:val="{07B6360A-2FE7-4F57-8DBE-27D24875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rážka vínová,List Paragraph (Czech Tourism)"/>
    <w:basedOn w:val="Normln"/>
    <w:link w:val="OdstavecseseznamemChar"/>
    <w:uiPriority w:val="34"/>
    <w:qFormat/>
    <w:rsid w:val="00F92EC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691"/>
    <w:rPr>
      <w:rFonts w:ascii="Segoe UI" w:hAnsi="Segoe UI" w:cs="Segoe UI"/>
      <w:sz w:val="18"/>
      <w:szCs w:val="18"/>
    </w:rPr>
  </w:style>
  <w:style w:type="character" w:customStyle="1" w:styleId="rvts11">
    <w:name w:val="rvts11"/>
    <w:basedOn w:val="Standardnpsmoodstavce"/>
    <w:rsid w:val="00000427"/>
    <w:rPr>
      <w:sz w:val="44"/>
      <w:szCs w:val="44"/>
    </w:rPr>
  </w:style>
  <w:style w:type="paragraph" w:styleId="Zhlav">
    <w:name w:val="header"/>
    <w:basedOn w:val="Normln"/>
    <w:link w:val="ZhlavChar"/>
    <w:uiPriority w:val="99"/>
    <w:unhideWhenUsed/>
    <w:rsid w:val="001E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6D64"/>
  </w:style>
  <w:style w:type="paragraph" w:styleId="Zpat">
    <w:name w:val="footer"/>
    <w:basedOn w:val="Normln"/>
    <w:link w:val="ZpatChar"/>
    <w:uiPriority w:val="99"/>
    <w:unhideWhenUsed/>
    <w:rsid w:val="001E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6D64"/>
  </w:style>
  <w:style w:type="table" w:styleId="Mkatabulky">
    <w:name w:val="Table Grid"/>
    <w:basedOn w:val="Normlntabulka"/>
    <w:uiPriority w:val="39"/>
    <w:rsid w:val="00844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A23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A23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A23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23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23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F7E3A"/>
    <w:pPr>
      <w:spacing w:after="0" w:line="240" w:lineRule="auto"/>
    </w:pPr>
  </w:style>
  <w:style w:type="character" w:customStyle="1" w:styleId="OdstavecseseznamemChar">
    <w:name w:val="Odstavec se seznamem Char"/>
    <w:aliases w:val="Odrážka vínová Char,List Paragraph (Czech Tourism) Char"/>
    <w:link w:val="Odstavecseseznamem"/>
    <w:uiPriority w:val="34"/>
    <w:qFormat/>
    <w:locked/>
    <w:rsid w:val="00910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1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OriginalFileName xmlns="b246a3c9-e8b6-4373-bafd-ef843f8c6aef">K PŘIPOMÍNKÁM_3. KOLO_Annex 1f_Sample SET testing.docx</OriginalFileName>
    <HashAlgorithm xmlns="b246a3c9-e8b6-4373-bafd-ef843f8c6aef" xsi:nil="true"/>
    <MimeTypeResult xmlns="b246a3c9-e8b6-4373-bafd-ef843f8c6aef" xsi:nil="true"/>
    <MimeType xmlns="b246a3c9-e8b6-4373-bafd-ef843f8c6aef" xsi:nil="true"/>
    <FormatCheck xmlns="b246a3c9-e8b6-4373-bafd-ef843f8c6aef" xsi:nil="true"/>
    <CisloJednaci xmlns="b246a3c9-e8b6-4373-bafd-ef843f8c6aef">STC/011208/ÚSF/2025</CisloJednaci>
    <NazevDokumentu xmlns="b246a3c9-e8b6-4373-bafd-ef843f8c6aef">Supply of contact chip modules for the digital  tachograph project</NazevDokumentu>
    <HashParentFile xmlns="b246a3c9-e8b6-4373-bafd-ef843f8c6aef" xsi:nil="true"/>
    <Znacka xmlns="b246a3c9-e8b6-4373-bafd-ef843f8c6aef" xsi:nil="true"/>
    <HashValue xmlns="b246a3c9-e8b6-4373-bafd-ef843f8c6aef" xsi:nil="true"/>
    <JID xmlns="b246a3c9-e8b6-4373-bafd-ef843f8c6aef">R_STCSPS_0104664</JID>
    <FormatName xmlns="b246a3c9-e8b6-4373-bafd-ef843f8c6aef" xsi:nil="true"/>
    <IDExt xmlns="b246a3c9-e8b6-4373-bafd-ef843f8c6aef" xsi:nil="true"/>
    <ZdrojID xmlns="b246a3c9-e8b6-4373-bafd-ef843f8c6aef" xsi:nil="true"/>
    <FinalniVerze xmlns="b246a3c9-e8b6-4373-bafd-ef843f8c6aef">false</FinalniVerz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4F9D2ADA2F609A4A94D06894653A752B" ma:contentTypeVersion="15" ma:contentTypeDescription="Vytvoří nový dokument" ma:contentTypeScope="" ma:versionID="a881498c08865121522b4eacdd94e0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ea9da80c0dba0dcfb7c95dabe26d852a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MimeType" minOccurs="0"/>
                <xsd:element ref="ns2:MimeTypeResult" minOccurs="0"/>
                <xsd:element ref="ns2:SharedWithUsers" minOccurs="0"/>
                <xsd:element ref="ns2:ZdrojID" minOccurs="0"/>
                <xsd:element ref="ns2:FinalniVerze" minOccurs="0"/>
                <xsd:element ref="ns2:FormatCheck" minOccurs="0"/>
                <xsd:element ref="ns2:FormatName" minOccurs="0"/>
                <xsd:element ref="ns2:OriginalFileName" minOccurs="0"/>
                <xsd:element ref="ns2:HashParentFi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  <xsd:enumeration value="Protokol ověření podpisu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MimeType" ma:index="19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0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  <xsd:element name="SharedWithUsers" ma:index="2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drojID" ma:index="22" nillable="true" ma:displayName="Zdroj ID" ma:internalName="ZdrojID">
      <xsd:simpleType>
        <xsd:restriction base="dms:Text">
          <xsd:maxLength value="32"/>
        </xsd:restriction>
      </xsd:simpleType>
    </xsd:element>
    <xsd:element name="FinalniVerze" ma:index="23" nillable="true" ma:displayName="Finální verze" ma:internalName="FinalniVerze">
      <xsd:simpleType>
        <xsd:restriction base="dms:Boolean"/>
      </xsd:simpleType>
    </xsd:element>
    <xsd:element name="FormatCheck" ma:index="24" nillable="true" ma:displayName="Format Check" ma:description="InProgress, Valid, Invalid, Error" ma:indexed="true" ma:internalName="FormatCheck">
      <xsd:simpleType>
        <xsd:restriction base="dms:Text">
          <xsd:maxLength value="255"/>
        </xsd:restriction>
      </xsd:simpleType>
    </xsd:element>
    <xsd:element name="FormatName" ma:index="25" nillable="true" ma:displayName="Format Name" ma:description="" ma:internalName="FormatName">
      <xsd:simpleType>
        <xsd:restriction base="dms:Text">
          <xsd:maxLength value="255"/>
        </xsd:restriction>
      </xsd:simpleType>
    </xsd:element>
    <xsd:element name="OriginalFileName" ma:index="26" nillable="true" ma:displayName="Původní název souboru" ma:description="" ma:internalName="OriginalFileName">
      <xsd:simpleType>
        <xsd:restriction base="dms:Text">
          <xsd:maxLength value="255"/>
        </xsd:restriction>
      </xsd:simpleType>
    </xsd:element>
    <xsd:element name="HashParentFile" ma:index="27" nillable="true" ma:displayName="Hash hlavního souboru" ma:description="" ma:internalName="HashParentFil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D6162-2D3F-4065-8386-2A96E957C65D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D3B19CC9-64EC-4D81-8612-AC8D729C52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861CEF-97C5-4B4A-B3ED-0873BB564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49C5F0-529E-41CB-B7EB-76D78E2E6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Jandová Marika</cp:lastModifiedBy>
  <cp:revision>27</cp:revision>
  <cp:lastPrinted>2020-05-29T10:09:00Z</cp:lastPrinted>
  <dcterms:created xsi:type="dcterms:W3CDTF">2025-05-05T07:48:00Z</dcterms:created>
  <dcterms:modified xsi:type="dcterms:W3CDTF">2025-09-15T13:02:00Z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0x010100617DA10A36FE5747AD151C4F74B1AC96004F9D2ADA2F609A4A94D06894653A752B</vt:lpwstr>
  </property>
</Properties>
</file>